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500" w:type="dxa"/>
        <w:tblLook w:val="04A0" w:firstRow="1" w:lastRow="0" w:firstColumn="1" w:lastColumn="0" w:noHBand="0" w:noVBand="1"/>
      </w:tblPr>
      <w:tblGrid>
        <w:gridCol w:w="6240"/>
        <w:gridCol w:w="5260"/>
      </w:tblGrid>
      <w:tr w:rsidR="00C81C96" w14:paraId="7D091EA4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033C" w14:textId="14B24823" w:rsidR="00C81C96" w:rsidRPr="00FA412E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Додаток</w:t>
            </w:r>
            <w:proofErr w:type="spellEnd"/>
            <w:r>
              <w:rPr>
                <w:color w:val="000000"/>
              </w:rPr>
              <w:t xml:space="preserve"> </w:t>
            </w:r>
            <w:r w:rsidR="00FA412E">
              <w:rPr>
                <w:color w:val="000000"/>
                <w:lang w:val="uk-UA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FB85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Затверджено</w:t>
            </w:r>
            <w:proofErr w:type="spellEnd"/>
          </w:p>
        </w:tc>
      </w:tr>
      <w:tr w:rsidR="00C81C96" w14:paraId="05121DE5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732" w14:textId="77777777" w:rsidR="00C81C96" w:rsidRDefault="00C81C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DF7A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рішенням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</w:tr>
      <w:tr w:rsidR="00C81C96" w14:paraId="697099BB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941D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DFAB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</w:tr>
      <w:tr w:rsidR="00C81C96" w14:paraId="2E809429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8975" w14:textId="12DC4EEB" w:rsidR="00C81C96" w:rsidRPr="00362339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"</w:t>
            </w:r>
            <w:r w:rsidR="00362339">
              <w:rPr>
                <w:color w:val="000000"/>
                <w:lang w:val="uk-UA"/>
              </w:rPr>
              <w:t>23</w:t>
            </w:r>
            <w:r>
              <w:rPr>
                <w:color w:val="000000"/>
              </w:rPr>
              <w:t xml:space="preserve">" </w:t>
            </w:r>
            <w:r w:rsidR="00362339">
              <w:rPr>
                <w:color w:val="000000"/>
                <w:lang w:val="uk-UA"/>
              </w:rPr>
              <w:t xml:space="preserve">лютого 2023 </w:t>
            </w:r>
            <w:r>
              <w:rPr>
                <w:color w:val="000000"/>
              </w:rPr>
              <w:t>№</w:t>
            </w:r>
            <w:r w:rsidR="00362339">
              <w:rPr>
                <w:color w:val="000000"/>
                <w:lang w:val="uk-UA"/>
              </w:rPr>
              <w:t xml:space="preserve"> 21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FDE9" w14:textId="2E3933DA" w:rsidR="00C81C96" w:rsidRPr="00362339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"</w:t>
            </w:r>
            <w:r w:rsidR="00362339">
              <w:rPr>
                <w:color w:val="000000"/>
                <w:lang w:val="uk-UA"/>
              </w:rPr>
              <w:t>23</w:t>
            </w:r>
            <w:bookmarkStart w:id="0" w:name="_GoBack"/>
            <w:bookmarkEnd w:id="0"/>
            <w:r>
              <w:rPr>
                <w:color w:val="000000"/>
              </w:rPr>
              <w:t xml:space="preserve">" </w:t>
            </w:r>
            <w:r w:rsidR="00362339">
              <w:rPr>
                <w:color w:val="000000"/>
                <w:lang w:val="uk-UA"/>
              </w:rPr>
              <w:t>лютого</w:t>
            </w:r>
            <w:r>
              <w:rPr>
                <w:color w:val="000000"/>
              </w:rPr>
              <w:t xml:space="preserve"> №</w:t>
            </w:r>
            <w:r w:rsidR="00362339">
              <w:rPr>
                <w:color w:val="000000"/>
                <w:lang w:val="uk-UA"/>
              </w:rPr>
              <w:t xml:space="preserve"> 21</w:t>
            </w:r>
          </w:p>
        </w:tc>
      </w:tr>
    </w:tbl>
    <w:p w14:paraId="68FE7AF7" w14:textId="77777777" w:rsidR="00C81C96" w:rsidRDefault="00C81C96" w:rsidP="00BF3853">
      <w:pPr>
        <w:ind w:firstLine="720"/>
        <w:jc w:val="both"/>
        <w:rPr>
          <w:b/>
          <w:sz w:val="28"/>
          <w:szCs w:val="28"/>
        </w:rPr>
      </w:pPr>
    </w:p>
    <w:p w14:paraId="49F6DACC" w14:textId="77777777" w:rsidR="00FA412E" w:rsidRPr="00594D25" w:rsidRDefault="00FA412E" w:rsidP="00FA412E">
      <w:pPr>
        <w:shd w:val="clear" w:color="auto" w:fill="FFFFFF"/>
        <w:spacing w:line="302" w:lineRule="exact"/>
        <w:ind w:right="557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</w:t>
      </w:r>
      <w:bookmarkStart w:id="1" w:name="_Hlk127895411"/>
      <w:r w:rsidRPr="00594D25">
        <w:rPr>
          <w:b/>
          <w:bCs/>
          <w:sz w:val="28"/>
          <w:szCs w:val="28"/>
          <w:lang w:val="uk-UA"/>
        </w:rPr>
        <w:t>Порядок</w:t>
      </w:r>
    </w:p>
    <w:p w14:paraId="1E349BC7" w14:textId="3C5CF128" w:rsidR="00FA412E" w:rsidRDefault="00FA412E" w:rsidP="00FA412E">
      <w:pPr>
        <w:jc w:val="center"/>
        <w:rPr>
          <w:b/>
          <w:bCs/>
          <w:sz w:val="28"/>
          <w:szCs w:val="28"/>
          <w:lang w:val="uk-UA"/>
        </w:rPr>
      </w:pPr>
      <w:r w:rsidRPr="00594D25">
        <w:rPr>
          <w:b/>
          <w:bCs/>
          <w:sz w:val="28"/>
          <w:szCs w:val="28"/>
          <w:lang w:val="uk-UA"/>
        </w:rPr>
        <w:t xml:space="preserve">відшкодування </w:t>
      </w:r>
      <w:r>
        <w:rPr>
          <w:b/>
          <w:bCs/>
          <w:sz w:val="28"/>
          <w:szCs w:val="28"/>
          <w:lang w:val="uk-UA"/>
        </w:rPr>
        <w:t xml:space="preserve"> </w:t>
      </w:r>
      <w:r w:rsidRPr="00594D25">
        <w:rPr>
          <w:b/>
          <w:bCs/>
          <w:sz w:val="28"/>
          <w:szCs w:val="28"/>
          <w:lang w:val="uk-UA"/>
        </w:rPr>
        <w:t>пільг з</w:t>
      </w:r>
      <w:r w:rsidR="00391FBD">
        <w:rPr>
          <w:b/>
          <w:bCs/>
          <w:sz w:val="28"/>
          <w:szCs w:val="28"/>
          <w:lang w:val="uk-UA"/>
        </w:rPr>
        <w:t>а</w:t>
      </w:r>
      <w:r w:rsidRPr="00594D25">
        <w:rPr>
          <w:b/>
          <w:bCs/>
          <w:sz w:val="28"/>
          <w:szCs w:val="28"/>
          <w:lang w:val="uk-UA"/>
        </w:rPr>
        <w:t xml:space="preserve">  послуг  зв'язку</w:t>
      </w:r>
    </w:p>
    <w:p w14:paraId="6348E8B3" w14:textId="77777777" w:rsidR="00FA412E" w:rsidRPr="00594D25" w:rsidRDefault="00FA412E" w:rsidP="00FA412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123048">
        <w:rPr>
          <w:b/>
          <w:bCs/>
          <w:sz w:val="28"/>
          <w:szCs w:val="28"/>
          <w:lang w:val="uk-UA"/>
        </w:rPr>
        <w:t>окремим категоріям громадян</w:t>
      </w:r>
    </w:p>
    <w:bookmarkEnd w:id="1"/>
    <w:p w14:paraId="7F13F8D6" w14:textId="77777777" w:rsidR="00FA412E" w:rsidRPr="00594D25" w:rsidRDefault="00FA412E" w:rsidP="00FA412E">
      <w:pPr>
        <w:jc w:val="center"/>
        <w:rPr>
          <w:b/>
          <w:bCs/>
          <w:sz w:val="28"/>
          <w:szCs w:val="28"/>
          <w:lang w:val="uk-UA"/>
        </w:rPr>
      </w:pPr>
    </w:p>
    <w:p w14:paraId="347DA176" w14:textId="77777777" w:rsidR="00FA412E" w:rsidRPr="00A16CE0" w:rsidRDefault="00FA412E" w:rsidP="00FA412E">
      <w:pPr>
        <w:jc w:val="center"/>
        <w:rPr>
          <w:sz w:val="28"/>
          <w:szCs w:val="28"/>
          <w:lang w:val="uk-UA"/>
        </w:rPr>
      </w:pPr>
    </w:p>
    <w:p w14:paraId="52A7EE8D" w14:textId="5DA049ED" w:rsidR="00FA412E" w:rsidRDefault="00FA412E" w:rsidP="00FA412E">
      <w:pPr>
        <w:jc w:val="both"/>
        <w:rPr>
          <w:sz w:val="28"/>
          <w:szCs w:val="28"/>
          <w:lang w:val="uk-UA"/>
        </w:rPr>
      </w:pPr>
      <w:r w:rsidRPr="00500308">
        <w:rPr>
          <w:sz w:val="28"/>
          <w:szCs w:val="28"/>
          <w:lang w:val="uk-UA"/>
        </w:rPr>
        <w:t>1.</w:t>
      </w:r>
      <w:r w:rsidR="00FE2521">
        <w:rPr>
          <w:sz w:val="28"/>
          <w:szCs w:val="28"/>
          <w:lang w:val="uk-UA"/>
        </w:rPr>
        <w:t xml:space="preserve"> </w:t>
      </w:r>
      <w:r w:rsidRPr="00500308">
        <w:rPr>
          <w:sz w:val="28"/>
          <w:szCs w:val="28"/>
          <w:lang w:val="uk-UA"/>
        </w:rPr>
        <w:t>Порядок відшкодування пільг з послуг зв’язку окремим категоріям громадян</w:t>
      </w:r>
      <w:r>
        <w:rPr>
          <w:sz w:val="28"/>
          <w:szCs w:val="28"/>
          <w:lang w:val="uk-UA"/>
        </w:rPr>
        <w:t xml:space="preserve"> </w:t>
      </w:r>
      <w:r w:rsidRPr="00500308">
        <w:rPr>
          <w:sz w:val="28"/>
          <w:szCs w:val="28"/>
          <w:lang w:val="uk-UA"/>
        </w:rPr>
        <w:t>(далі – Порядок)</w:t>
      </w:r>
      <w:r>
        <w:rPr>
          <w:sz w:val="28"/>
          <w:szCs w:val="28"/>
          <w:lang w:val="uk-UA"/>
        </w:rPr>
        <w:t xml:space="preserve"> </w:t>
      </w:r>
      <w:r w:rsidRPr="00500308">
        <w:rPr>
          <w:sz w:val="28"/>
          <w:szCs w:val="28"/>
          <w:lang w:val="uk-UA"/>
        </w:rPr>
        <w:t xml:space="preserve">визначає процедуру проведення відшкодування вартості встановлення телефону та знижки на абонентську плату </w:t>
      </w:r>
      <w:r>
        <w:rPr>
          <w:sz w:val="28"/>
          <w:szCs w:val="28"/>
          <w:lang w:val="uk-UA"/>
        </w:rPr>
        <w:t>на пільгових умовах.</w:t>
      </w:r>
    </w:p>
    <w:p w14:paraId="0F778A64" w14:textId="772B43CC" w:rsidR="00FA412E" w:rsidRPr="00C9322A" w:rsidRDefault="00FA412E" w:rsidP="00FA412E">
      <w:pPr>
        <w:jc w:val="both"/>
        <w:rPr>
          <w:sz w:val="28"/>
          <w:szCs w:val="28"/>
          <w:lang w:val="uk-UA"/>
        </w:rPr>
      </w:pPr>
      <w:r w:rsidRPr="00C9322A">
        <w:rPr>
          <w:sz w:val="28"/>
          <w:szCs w:val="28"/>
          <w:lang w:val="uk-UA"/>
        </w:rPr>
        <w:t xml:space="preserve"> 2. Відшкодування пільг </w:t>
      </w:r>
      <w:r w:rsidR="006F41EB" w:rsidRPr="00C9322A">
        <w:rPr>
          <w:sz w:val="28"/>
          <w:szCs w:val="28"/>
          <w:lang w:val="uk-UA"/>
        </w:rPr>
        <w:t xml:space="preserve">на </w:t>
      </w:r>
      <w:r w:rsidRPr="00C9322A">
        <w:rPr>
          <w:sz w:val="28"/>
          <w:szCs w:val="28"/>
          <w:lang w:val="uk-UA"/>
        </w:rPr>
        <w:t xml:space="preserve"> послуг</w:t>
      </w:r>
      <w:r w:rsidR="006F41EB" w:rsidRPr="00C9322A">
        <w:rPr>
          <w:sz w:val="28"/>
          <w:szCs w:val="28"/>
          <w:lang w:val="uk-UA"/>
        </w:rPr>
        <w:t>и</w:t>
      </w:r>
      <w:r w:rsidRPr="00C9322A">
        <w:rPr>
          <w:sz w:val="28"/>
          <w:szCs w:val="28"/>
          <w:lang w:val="uk-UA"/>
        </w:rPr>
        <w:t xml:space="preserve"> зв’язку</w:t>
      </w:r>
      <w:r w:rsidR="006F41EB" w:rsidRPr="00C9322A">
        <w:rPr>
          <w:sz w:val="28"/>
          <w:szCs w:val="28"/>
          <w:lang w:val="uk-UA"/>
        </w:rPr>
        <w:t xml:space="preserve"> окремим категоріям громадян </w:t>
      </w:r>
      <w:r w:rsidRPr="00C9322A">
        <w:rPr>
          <w:sz w:val="28"/>
          <w:szCs w:val="28"/>
          <w:lang w:val="uk-UA"/>
        </w:rPr>
        <w:t xml:space="preserve"> здійснюється </w:t>
      </w:r>
      <w:r w:rsidR="006F41EB" w:rsidRPr="00C9322A">
        <w:rPr>
          <w:sz w:val="28"/>
          <w:szCs w:val="28"/>
          <w:lang w:val="uk-UA"/>
        </w:rPr>
        <w:t>за умови укладання Договору про відшкодування витрат за надані телекомунікаційні послуги пільговим категоріям громадян між Підприємством, що надає телекомунікаційні послуги та виконавцем заходів Комплексної програми соціального</w:t>
      </w:r>
      <w:r w:rsidR="007E24AD" w:rsidRPr="00C9322A">
        <w:rPr>
          <w:sz w:val="28"/>
          <w:szCs w:val="28"/>
          <w:lang w:val="uk-UA"/>
        </w:rPr>
        <w:t xml:space="preserve"> захисту та забезпечення населення Городоцької </w:t>
      </w:r>
      <w:proofErr w:type="spellStart"/>
      <w:r w:rsidR="007E24AD" w:rsidRPr="00C9322A">
        <w:rPr>
          <w:sz w:val="28"/>
          <w:szCs w:val="28"/>
          <w:lang w:val="uk-UA"/>
        </w:rPr>
        <w:t>мііської</w:t>
      </w:r>
      <w:proofErr w:type="spellEnd"/>
      <w:r w:rsidR="007E24AD" w:rsidRPr="00C9322A">
        <w:rPr>
          <w:sz w:val="28"/>
          <w:szCs w:val="28"/>
          <w:lang w:val="uk-UA"/>
        </w:rPr>
        <w:t xml:space="preserve"> ради  на 2021-2024 роки – комунальною установою «Центр надання соціальних послуг Городоцької міської ради» -  розпорядником бюджетних коштів.</w:t>
      </w:r>
    </w:p>
    <w:p w14:paraId="7804D8C5" w14:textId="79A47BE7" w:rsidR="00FA412E" w:rsidRDefault="00FA412E" w:rsidP="00FA4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 рахунок коштів міського бюджету </w:t>
      </w:r>
      <w:r w:rsidRPr="00500308">
        <w:rPr>
          <w:sz w:val="28"/>
          <w:szCs w:val="28"/>
          <w:lang w:val="uk-UA"/>
        </w:rPr>
        <w:t>відшкодування пільг з послуг зв’язку</w:t>
      </w:r>
      <w:r>
        <w:rPr>
          <w:sz w:val="28"/>
          <w:szCs w:val="28"/>
          <w:lang w:val="uk-UA"/>
        </w:rPr>
        <w:t xml:space="preserve"> здійснюється виключно</w:t>
      </w:r>
      <w:r w:rsidRPr="00500308">
        <w:rPr>
          <w:sz w:val="28"/>
          <w:szCs w:val="28"/>
          <w:lang w:val="uk-UA"/>
        </w:rPr>
        <w:t xml:space="preserve"> окремим категоріям громадян</w:t>
      </w:r>
      <w:r>
        <w:rPr>
          <w:sz w:val="28"/>
          <w:szCs w:val="28"/>
          <w:lang w:val="uk-UA"/>
        </w:rPr>
        <w:t xml:space="preserve">, які відповідно </w:t>
      </w:r>
      <w:r w:rsidRPr="00500308">
        <w:rPr>
          <w:sz w:val="28"/>
          <w:szCs w:val="28"/>
          <w:lang w:val="uk-UA"/>
        </w:rPr>
        <w:t>до Закон</w:t>
      </w:r>
      <w:r>
        <w:rPr>
          <w:sz w:val="28"/>
          <w:szCs w:val="28"/>
          <w:lang w:val="uk-UA"/>
        </w:rPr>
        <w:t>ів</w:t>
      </w:r>
      <w:r w:rsidRPr="00500308">
        <w:rPr>
          <w:sz w:val="28"/>
          <w:szCs w:val="28"/>
          <w:lang w:val="uk-UA"/>
        </w:rPr>
        <w:t xml:space="preserve"> України «Про статус ветеранів військової служби і ветеранів органів внутрішніх справ та їх соціальний захист</w:t>
      </w:r>
      <w:r>
        <w:rPr>
          <w:sz w:val="28"/>
          <w:szCs w:val="28"/>
          <w:lang w:val="uk-UA"/>
        </w:rPr>
        <w:t xml:space="preserve">», </w:t>
      </w:r>
      <w:r w:rsidRPr="00500308">
        <w:rPr>
          <w:sz w:val="28"/>
          <w:szCs w:val="28"/>
          <w:lang w:val="uk-UA"/>
        </w:rPr>
        <w:t xml:space="preserve"> «Про статус і соціальний захист громадян, які постраждали внаслідок Чорнобильської катастрофи», «Про статус ветеранів війни, гарантії їх соціального захисту», «Про жертви нацистських переслідувань»,</w:t>
      </w:r>
      <w:r>
        <w:rPr>
          <w:sz w:val="28"/>
          <w:szCs w:val="28"/>
          <w:lang w:val="uk-UA"/>
        </w:rPr>
        <w:t xml:space="preserve"> </w:t>
      </w:r>
      <w:r w:rsidRPr="00500308">
        <w:rPr>
          <w:sz w:val="28"/>
          <w:szCs w:val="28"/>
          <w:lang w:val="uk-UA"/>
        </w:rPr>
        <w:t>«Про соціальний захист багатодітних сімей»</w:t>
      </w:r>
      <w:r>
        <w:rPr>
          <w:sz w:val="28"/>
          <w:szCs w:val="28"/>
          <w:lang w:val="uk-UA"/>
        </w:rPr>
        <w:t xml:space="preserve"> мають на це право</w:t>
      </w:r>
      <w:r w:rsidR="00FE2521">
        <w:rPr>
          <w:sz w:val="28"/>
          <w:szCs w:val="28"/>
          <w:lang w:val="uk-UA"/>
        </w:rPr>
        <w:t>, а саме:</w:t>
      </w: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5672"/>
      </w:tblGrid>
      <w:tr w:rsidR="003533B1" w:rsidRPr="004D2431" w14:paraId="361C4463" w14:textId="77777777" w:rsidTr="003533B1">
        <w:trPr>
          <w:trHeight w:val="1250"/>
        </w:trPr>
        <w:tc>
          <w:tcPr>
            <w:tcW w:w="540" w:type="dxa"/>
            <w:vAlign w:val="center"/>
          </w:tcPr>
          <w:p w14:paraId="441B80B2" w14:textId="77777777" w:rsidR="003533B1" w:rsidRPr="003533B1" w:rsidRDefault="003533B1" w:rsidP="00AC2B8A">
            <w:pPr>
              <w:jc w:val="center"/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>№ п/п</w:t>
            </w:r>
          </w:p>
        </w:tc>
        <w:tc>
          <w:tcPr>
            <w:tcW w:w="3420" w:type="dxa"/>
            <w:vAlign w:val="center"/>
          </w:tcPr>
          <w:p w14:paraId="6E24F5F1" w14:textId="77777777" w:rsidR="003533B1" w:rsidRPr="003533B1" w:rsidRDefault="003533B1" w:rsidP="00AC2B8A">
            <w:pPr>
              <w:jc w:val="center"/>
              <w:rPr>
                <w:sz w:val="28"/>
                <w:szCs w:val="28"/>
              </w:rPr>
            </w:pPr>
          </w:p>
          <w:p w14:paraId="1AFC111E" w14:textId="625DF588" w:rsidR="003533B1" w:rsidRPr="003533B1" w:rsidRDefault="003533B1" w:rsidP="00AC2B8A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3533B1">
              <w:rPr>
                <w:sz w:val="28"/>
                <w:szCs w:val="28"/>
              </w:rPr>
              <w:t>Категорії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пільговиків</w:t>
            </w:r>
            <w:proofErr w:type="spellEnd"/>
          </w:p>
        </w:tc>
        <w:tc>
          <w:tcPr>
            <w:tcW w:w="5672" w:type="dxa"/>
            <w:vAlign w:val="center"/>
          </w:tcPr>
          <w:p w14:paraId="53297B66" w14:textId="77777777" w:rsidR="003533B1" w:rsidRPr="003533B1" w:rsidRDefault="003533B1" w:rsidP="00AC2B8A">
            <w:pPr>
              <w:jc w:val="center"/>
              <w:rPr>
                <w:sz w:val="28"/>
                <w:szCs w:val="28"/>
              </w:rPr>
            </w:pPr>
          </w:p>
          <w:p w14:paraId="796FC72D" w14:textId="77777777" w:rsidR="003533B1" w:rsidRPr="003533B1" w:rsidRDefault="003533B1" w:rsidP="00AC2B8A">
            <w:pPr>
              <w:jc w:val="center"/>
              <w:rPr>
                <w:sz w:val="28"/>
                <w:szCs w:val="28"/>
              </w:rPr>
            </w:pPr>
            <w:proofErr w:type="spellStart"/>
            <w:r w:rsidRPr="003533B1">
              <w:rPr>
                <w:sz w:val="28"/>
                <w:szCs w:val="28"/>
              </w:rPr>
              <w:t>Назва</w:t>
            </w:r>
            <w:proofErr w:type="spellEnd"/>
            <w:r w:rsidRPr="003533B1">
              <w:rPr>
                <w:sz w:val="28"/>
                <w:szCs w:val="28"/>
              </w:rPr>
              <w:t xml:space="preserve"> нормативного документу, </w:t>
            </w:r>
            <w:proofErr w:type="spellStart"/>
            <w:r w:rsidRPr="003533B1">
              <w:rPr>
                <w:sz w:val="28"/>
                <w:szCs w:val="28"/>
              </w:rPr>
              <w:t>яким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передбачено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надання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пільг</w:t>
            </w:r>
            <w:proofErr w:type="spellEnd"/>
            <w:r w:rsidRPr="003533B1">
              <w:rPr>
                <w:sz w:val="28"/>
                <w:szCs w:val="28"/>
              </w:rPr>
              <w:t xml:space="preserve"> на </w:t>
            </w:r>
            <w:proofErr w:type="spellStart"/>
            <w:r w:rsidRPr="003533B1">
              <w:rPr>
                <w:sz w:val="28"/>
                <w:szCs w:val="28"/>
              </w:rPr>
              <w:t>проїзд</w:t>
            </w:r>
            <w:proofErr w:type="spellEnd"/>
          </w:p>
          <w:p w14:paraId="5039025B" w14:textId="77777777" w:rsidR="003533B1" w:rsidRPr="003533B1" w:rsidRDefault="003533B1" w:rsidP="00AC2B8A">
            <w:pPr>
              <w:jc w:val="center"/>
              <w:rPr>
                <w:sz w:val="28"/>
                <w:szCs w:val="28"/>
              </w:rPr>
            </w:pPr>
          </w:p>
        </w:tc>
      </w:tr>
      <w:tr w:rsidR="003533B1" w:rsidRPr="004D2431" w14:paraId="3C90B0B6" w14:textId="77777777" w:rsidTr="003533B1">
        <w:trPr>
          <w:trHeight w:val="553"/>
        </w:trPr>
        <w:tc>
          <w:tcPr>
            <w:tcW w:w="540" w:type="dxa"/>
          </w:tcPr>
          <w:p w14:paraId="75784FF2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>1</w:t>
            </w:r>
          </w:p>
          <w:p w14:paraId="239FE9C8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14:paraId="48D862AA" w14:textId="77777777" w:rsidR="003533B1" w:rsidRPr="003533B1" w:rsidRDefault="003533B1" w:rsidP="00AC2B8A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3533B1">
              <w:rPr>
                <w:rStyle w:val="a8"/>
                <w:sz w:val="28"/>
                <w:szCs w:val="28"/>
              </w:rPr>
              <w:t>Інваліди</w:t>
            </w:r>
            <w:proofErr w:type="spellEnd"/>
            <w:r w:rsidRPr="003533B1">
              <w:rPr>
                <w:rStyle w:val="a8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a8"/>
                <w:sz w:val="28"/>
                <w:szCs w:val="28"/>
              </w:rPr>
              <w:t>війни</w:t>
            </w:r>
            <w:proofErr w:type="spellEnd"/>
            <w:r w:rsidRPr="003533B1">
              <w:rPr>
                <w:rStyle w:val="a8"/>
                <w:sz w:val="28"/>
                <w:szCs w:val="28"/>
              </w:rPr>
              <w:t xml:space="preserve"> та </w:t>
            </w:r>
            <w:proofErr w:type="spellStart"/>
            <w:r w:rsidRPr="003533B1">
              <w:rPr>
                <w:rStyle w:val="a8"/>
                <w:sz w:val="28"/>
                <w:szCs w:val="28"/>
              </w:rPr>
              <w:t>прирівняні</w:t>
            </w:r>
            <w:proofErr w:type="spellEnd"/>
            <w:r w:rsidRPr="003533B1">
              <w:rPr>
                <w:rStyle w:val="a8"/>
                <w:sz w:val="28"/>
                <w:szCs w:val="28"/>
              </w:rPr>
              <w:t xml:space="preserve"> до них особи</w:t>
            </w:r>
          </w:p>
        </w:tc>
        <w:tc>
          <w:tcPr>
            <w:tcW w:w="5672" w:type="dxa"/>
          </w:tcPr>
          <w:p w14:paraId="304DF8C3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гарантії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захисту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  <w:p w14:paraId="3A4D24FC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</w:tr>
      <w:tr w:rsidR="003533B1" w:rsidRPr="004D2431" w14:paraId="5A46877F" w14:textId="77777777" w:rsidTr="003533B1">
        <w:trPr>
          <w:trHeight w:val="553"/>
        </w:trPr>
        <w:tc>
          <w:tcPr>
            <w:tcW w:w="540" w:type="dxa"/>
          </w:tcPr>
          <w:p w14:paraId="15D815CE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420" w:type="dxa"/>
          </w:tcPr>
          <w:p w14:paraId="1DC93197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rStyle w:val="rvts0"/>
                <w:sz w:val="28"/>
                <w:szCs w:val="28"/>
                <w:lang w:val="uk-UA"/>
              </w:rPr>
              <w:t>У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часник</w:t>
            </w:r>
            <w:proofErr w:type="spellEnd"/>
            <w:r w:rsidRPr="003533B1">
              <w:rPr>
                <w:rStyle w:val="rvts0"/>
                <w:sz w:val="28"/>
                <w:szCs w:val="28"/>
                <w:lang w:val="uk-UA"/>
              </w:rPr>
              <w:t>и</w:t>
            </w:r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бойових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дій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та особ</w:t>
            </w:r>
            <w:r w:rsidRPr="003533B1">
              <w:rPr>
                <w:rStyle w:val="rvts0"/>
                <w:sz w:val="28"/>
                <w:szCs w:val="28"/>
                <w:lang w:val="uk-UA"/>
              </w:rPr>
              <w:t>и</w:t>
            </w:r>
            <w:r w:rsidRPr="003533B1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прирівнян</w:t>
            </w:r>
            <w:proofErr w:type="spellEnd"/>
            <w:r w:rsidRPr="003533B1">
              <w:rPr>
                <w:rStyle w:val="rvts0"/>
                <w:sz w:val="28"/>
                <w:szCs w:val="28"/>
                <w:lang w:val="uk-UA"/>
              </w:rPr>
              <w:t>і</w:t>
            </w:r>
            <w:r w:rsidRPr="003533B1">
              <w:rPr>
                <w:rStyle w:val="rvts0"/>
                <w:sz w:val="28"/>
                <w:szCs w:val="28"/>
              </w:rPr>
              <w:t xml:space="preserve"> до них</w:t>
            </w:r>
          </w:p>
        </w:tc>
        <w:tc>
          <w:tcPr>
            <w:tcW w:w="5672" w:type="dxa"/>
          </w:tcPr>
          <w:p w14:paraId="4A8038B5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гарантії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захисту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  <w:p w14:paraId="340C6334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</w:tr>
      <w:tr w:rsidR="003533B1" w:rsidRPr="004D2431" w14:paraId="4356E463" w14:textId="77777777" w:rsidTr="003533B1">
        <w:trPr>
          <w:trHeight w:val="553"/>
        </w:trPr>
        <w:tc>
          <w:tcPr>
            <w:tcW w:w="540" w:type="dxa"/>
          </w:tcPr>
          <w:p w14:paraId="5EC90986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420" w:type="dxa"/>
          </w:tcPr>
          <w:p w14:paraId="617F3338" w14:textId="77777777" w:rsidR="003533B1" w:rsidRPr="003533B1" w:rsidRDefault="003533B1" w:rsidP="00AC2B8A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3533B1">
              <w:rPr>
                <w:rStyle w:val="a8"/>
                <w:sz w:val="28"/>
                <w:szCs w:val="28"/>
              </w:rPr>
              <w:t>Учасники</w:t>
            </w:r>
            <w:proofErr w:type="spellEnd"/>
            <w:r w:rsidRPr="003533B1">
              <w:rPr>
                <w:rStyle w:val="a8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a8"/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5672" w:type="dxa"/>
          </w:tcPr>
          <w:p w14:paraId="67DCC781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гарантії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захисту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  <w:p w14:paraId="1BDE89BD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</w:tr>
      <w:tr w:rsidR="003533B1" w:rsidRPr="004D2431" w14:paraId="11D89FA9" w14:textId="77777777" w:rsidTr="003533B1">
        <w:trPr>
          <w:trHeight w:val="553"/>
        </w:trPr>
        <w:tc>
          <w:tcPr>
            <w:tcW w:w="540" w:type="dxa"/>
          </w:tcPr>
          <w:p w14:paraId="778483CD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20" w:type="dxa"/>
          </w:tcPr>
          <w:p w14:paraId="31C14782" w14:textId="77777777" w:rsidR="003533B1" w:rsidRPr="003533B1" w:rsidRDefault="003533B1" w:rsidP="00AC2B8A">
            <w:pPr>
              <w:rPr>
                <w:rStyle w:val="a8"/>
                <w:sz w:val="28"/>
                <w:szCs w:val="28"/>
              </w:rPr>
            </w:pPr>
            <w:r w:rsidRPr="003533B1">
              <w:rPr>
                <w:rStyle w:val="rvts0"/>
                <w:sz w:val="28"/>
                <w:szCs w:val="28"/>
              </w:rPr>
              <w:t xml:space="preserve">Особи, на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яких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поширюється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чинність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цього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Закону</w:t>
            </w:r>
          </w:p>
        </w:tc>
        <w:tc>
          <w:tcPr>
            <w:tcW w:w="5672" w:type="dxa"/>
          </w:tcPr>
          <w:p w14:paraId="5EE11FC4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гарантії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захисту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  <w:p w14:paraId="7D8C7E5D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</w:tr>
      <w:tr w:rsidR="003533B1" w:rsidRPr="004D2431" w14:paraId="372F31A1" w14:textId="77777777" w:rsidTr="003533B1">
        <w:trPr>
          <w:trHeight w:val="553"/>
        </w:trPr>
        <w:tc>
          <w:tcPr>
            <w:tcW w:w="540" w:type="dxa"/>
          </w:tcPr>
          <w:p w14:paraId="3E71E332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420" w:type="dxa"/>
          </w:tcPr>
          <w:p w14:paraId="3225D5F9" w14:textId="77777777" w:rsidR="003533B1" w:rsidRPr="003533B1" w:rsidRDefault="003533B1" w:rsidP="00AC2B8A">
            <w:pPr>
              <w:rPr>
                <w:rStyle w:val="a8"/>
                <w:b w:val="0"/>
                <w:bCs w:val="0"/>
                <w:sz w:val="28"/>
                <w:szCs w:val="28"/>
              </w:rPr>
            </w:pPr>
            <w:r w:rsidRPr="003533B1">
              <w:rPr>
                <w:rStyle w:val="rvts0"/>
                <w:sz w:val="28"/>
                <w:szCs w:val="28"/>
                <w:lang w:val="uk-UA"/>
              </w:rPr>
              <w:t>Особи</w:t>
            </w:r>
            <w:r w:rsidRPr="003533B1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які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мають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особливі</w:t>
            </w:r>
            <w:proofErr w:type="spellEnd"/>
            <w:r w:rsidRPr="003533B1">
              <w:rPr>
                <w:rStyle w:val="rvts0"/>
                <w:sz w:val="28"/>
                <w:szCs w:val="28"/>
              </w:rPr>
              <w:t xml:space="preserve"> заслуги перед </w:t>
            </w:r>
            <w:proofErr w:type="spellStart"/>
            <w:r w:rsidRPr="003533B1">
              <w:rPr>
                <w:rStyle w:val="rvts0"/>
                <w:sz w:val="28"/>
                <w:szCs w:val="28"/>
              </w:rPr>
              <w:t>Батьківщиною</w:t>
            </w:r>
            <w:proofErr w:type="spellEnd"/>
          </w:p>
        </w:tc>
        <w:tc>
          <w:tcPr>
            <w:tcW w:w="5672" w:type="dxa"/>
          </w:tcPr>
          <w:p w14:paraId="708E7F01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гарантії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захисту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  <w:p w14:paraId="25AB497E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</w:tr>
      <w:tr w:rsidR="003533B1" w:rsidRPr="004D2431" w14:paraId="5F5FCD10" w14:textId="77777777" w:rsidTr="003533B1">
        <w:trPr>
          <w:trHeight w:val="553"/>
        </w:trPr>
        <w:tc>
          <w:tcPr>
            <w:tcW w:w="540" w:type="dxa"/>
          </w:tcPr>
          <w:p w14:paraId="288FB293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20" w:type="dxa"/>
          </w:tcPr>
          <w:p w14:paraId="2BC27703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proofErr w:type="spellStart"/>
            <w:r w:rsidRPr="003533B1">
              <w:rPr>
                <w:sz w:val="28"/>
                <w:szCs w:val="28"/>
              </w:rPr>
              <w:t>Громадяни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які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постраждали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внаслідок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Чорнобильської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катастрофи</w:t>
            </w:r>
            <w:proofErr w:type="spellEnd"/>
          </w:p>
          <w:p w14:paraId="5E5C7E1D" w14:textId="77777777" w:rsidR="003533B1" w:rsidRPr="003533B1" w:rsidRDefault="003533B1" w:rsidP="00AC2B8A">
            <w:pPr>
              <w:rPr>
                <w:sz w:val="28"/>
                <w:szCs w:val="28"/>
              </w:rPr>
            </w:pPr>
          </w:p>
        </w:tc>
        <w:tc>
          <w:tcPr>
            <w:tcW w:w="5672" w:type="dxa"/>
          </w:tcPr>
          <w:p w14:paraId="1D5EF814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і </w:t>
            </w:r>
            <w:proofErr w:type="spellStart"/>
            <w:r w:rsidRPr="003533B1">
              <w:rPr>
                <w:sz w:val="28"/>
                <w:szCs w:val="28"/>
              </w:rPr>
              <w:t>соціальний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громадян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які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постраждали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внаслідок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Чорнобильської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катастрофи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</w:tc>
      </w:tr>
      <w:tr w:rsidR="003533B1" w:rsidRPr="004D2431" w14:paraId="5C555A41" w14:textId="77777777" w:rsidTr="003533B1">
        <w:trPr>
          <w:trHeight w:val="553"/>
        </w:trPr>
        <w:tc>
          <w:tcPr>
            <w:tcW w:w="540" w:type="dxa"/>
          </w:tcPr>
          <w:p w14:paraId="794AC8AF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20" w:type="dxa"/>
          </w:tcPr>
          <w:p w14:paraId="4501D4AA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proofErr w:type="spellStart"/>
            <w:r w:rsidRPr="003533B1">
              <w:rPr>
                <w:sz w:val="28"/>
                <w:szCs w:val="28"/>
              </w:rPr>
              <w:t>Ветерани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військової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5672" w:type="dxa"/>
          </w:tcPr>
          <w:p w14:paraId="72485798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статус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військової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служби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ветеранів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органів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внутрішніх</w:t>
            </w:r>
            <w:proofErr w:type="spellEnd"/>
            <w:r w:rsidRPr="003533B1">
              <w:rPr>
                <w:sz w:val="28"/>
                <w:szCs w:val="28"/>
              </w:rPr>
              <w:t xml:space="preserve"> справ і </w:t>
            </w:r>
            <w:proofErr w:type="spellStart"/>
            <w:r w:rsidRPr="003533B1">
              <w:rPr>
                <w:sz w:val="28"/>
                <w:szCs w:val="28"/>
              </w:rPr>
              <w:t>деяких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інших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осіб</w:t>
            </w:r>
            <w:proofErr w:type="spellEnd"/>
            <w:r w:rsidRPr="003533B1">
              <w:rPr>
                <w:sz w:val="28"/>
                <w:szCs w:val="28"/>
              </w:rPr>
              <w:t xml:space="preserve"> та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соціальний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</w:tc>
      </w:tr>
      <w:tr w:rsidR="003533B1" w:rsidRPr="004D2431" w14:paraId="34400A21" w14:textId="77777777" w:rsidTr="003533B1">
        <w:trPr>
          <w:trHeight w:val="553"/>
        </w:trPr>
        <w:tc>
          <w:tcPr>
            <w:tcW w:w="540" w:type="dxa"/>
          </w:tcPr>
          <w:p w14:paraId="51744927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20" w:type="dxa"/>
          </w:tcPr>
          <w:p w14:paraId="75273954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Б</w:t>
            </w:r>
            <w:proofErr w:type="spellStart"/>
            <w:r w:rsidRPr="003533B1">
              <w:rPr>
                <w:sz w:val="28"/>
                <w:szCs w:val="28"/>
              </w:rPr>
              <w:t>агатодітн</w:t>
            </w:r>
            <w:proofErr w:type="spellEnd"/>
            <w:r w:rsidRPr="003533B1">
              <w:rPr>
                <w:sz w:val="28"/>
                <w:szCs w:val="28"/>
                <w:lang w:val="uk-UA"/>
              </w:rPr>
              <w:t>і</w:t>
            </w:r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сім</w:t>
            </w:r>
            <w:proofErr w:type="spellEnd"/>
            <w:r w:rsidRPr="003533B1">
              <w:rPr>
                <w:sz w:val="28"/>
                <w:szCs w:val="28"/>
                <w:lang w:val="uk-UA"/>
              </w:rPr>
              <w:t>’ї</w:t>
            </w:r>
          </w:p>
        </w:tc>
        <w:tc>
          <w:tcPr>
            <w:tcW w:w="5672" w:type="dxa"/>
          </w:tcPr>
          <w:p w14:paraId="7CCF3563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</w:rPr>
              <w:t xml:space="preserve">Законом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</w:t>
            </w:r>
            <w:proofErr w:type="spellStart"/>
            <w:r w:rsidRPr="003533B1">
              <w:rPr>
                <w:sz w:val="28"/>
                <w:szCs w:val="28"/>
              </w:rPr>
              <w:t>охорону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дитинства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</w:tc>
      </w:tr>
      <w:tr w:rsidR="003533B1" w:rsidRPr="004D2431" w14:paraId="16D373CE" w14:textId="77777777" w:rsidTr="003533B1">
        <w:trPr>
          <w:trHeight w:val="553"/>
        </w:trPr>
        <w:tc>
          <w:tcPr>
            <w:tcW w:w="540" w:type="dxa"/>
          </w:tcPr>
          <w:p w14:paraId="17D174E0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20" w:type="dxa"/>
          </w:tcPr>
          <w:p w14:paraId="597D6388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Батьки </w:t>
            </w:r>
            <w:proofErr w:type="spellStart"/>
            <w:r w:rsidRPr="003533B1">
              <w:rPr>
                <w:sz w:val="28"/>
                <w:szCs w:val="28"/>
              </w:rPr>
              <w:t>загиблого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військовослужбовця</w:t>
            </w:r>
            <w:proofErr w:type="spellEnd"/>
          </w:p>
        </w:tc>
        <w:tc>
          <w:tcPr>
            <w:tcW w:w="5672" w:type="dxa"/>
          </w:tcPr>
          <w:p w14:paraId="3A602E0D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</w:t>
            </w:r>
            <w:proofErr w:type="spellStart"/>
            <w:r w:rsidRPr="003533B1">
              <w:rPr>
                <w:sz w:val="28"/>
                <w:szCs w:val="28"/>
              </w:rPr>
              <w:t>соціальний</w:t>
            </w:r>
            <w:proofErr w:type="spellEnd"/>
            <w:r w:rsidRPr="003533B1">
              <w:rPr>
                <w:sz w:val="28"/>
                <w:szCs w:val="28"/>
              </w:rPr>
              <w:t xml:space="preserve"> і </w:t>
            </w:r>
            <w:proofErr w:type="spellStart"/>
            <w:r w:rsidRPr="003533B1">
              <w:rPr>
                <w:sz w:val="28"/>
                <w:szCs w:val="28"/>
              </w:rPr>
              <w:t>правовий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захист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військовослужбовців</w:t>
            </w:r>
            <w:proofErr w:type="spellEnd"/>
            <w:r w:rsidRPr="003533B1">
              <w:rPr>
                <w:sz w:val="28"/>
                <w:szCs w:val="28"/>
              </w:rPr>
              <w:t xml:space="preserve"> та </w:t>
            </w:r>
            <w:proofErr w:type="spellStart"/>
            <w:r w:rsidRPr="003533B1">
              <w:rPr>
                <w:sz w:val="28"/>
                <w:szCs w:val="28"/>
              </w:rPr>
              <w:t>членів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їх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сімей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</w:tc>
      </w:tr>
      <w:tr w:rsidR="003533B1" w:rsidRPr="004D2431" w14:paraId="5CC41A91" w14:textId="77777777" w:rsidTr="003533B1">
        <w:tc>
          <w:tcPr>
            <w:tcW w:w="540" w:type="dxa"/>
          </w:tcPr>
          <w:p w14:paraId="490E5976" w14:textId="77777777" w:rsidR="003533B1" w:rsidRPr="003533B1" w:rsidRDefault="003533B1" w:rsidP="00AC2B8A">
            <w:pPr>
              <w:rPr>
                <w:sz w:val="28"/>
                <w:szCs w:val="28"/>
                <w:lang w:val="uk-UA"/>
              </w:rPr>
            </w:pPr>
            <w:r w:rsidRPr="003533B1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20" w:type="dxa"/>
          </w:tcPr>
          <w:p w14:paraId="468AE37A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proofErr w:type="spellStart"/>
            <w:r w:rsidRPr="003533B1">
              <w:rPr>
                <w:sz w:val="28"/>
                <w:szCs w:val="28"/>
              </w:rPr>
              <w:t>Реабілітовані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громадяни</w:t>
            </w:r>
            <w:proofErr w:type="spellEnd"/>
            <w:r w:rsidRPr="003533B1">
              <w:rPr>
                <w:sz w:val="28"/>
                <w:szCs w:val="28"/>
              </w:rPr>
              <w:t xml:space="preserve">, </w:t>
            </w:r>
            <w:proofErr w:type="spellStart"/>
            <w:r w:rsidRPr="003533B1">
              <w:rPr>
                <w:sz w:val="28"/>
                <w:szCs w:val="28"/>
              </w:rPr>
              <w:t>які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постраждали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внаслідок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репресій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або</w:t>
            </w:r>
            <w:proofErr w:type="spellEnd"/>
            <w:r w:rsidRPr="003533B1">
              <w:rPr>
                <w:sz w:val="28"/>
                <w:szCs w:val="28"/>
              </w:rPr>
              <w:t xml:space="preserve"> є </w:t>
            </w:r>
            <w:proofErr w:type="spellStart"/>
            <w:r w:rsidRPr="003533B1">
              <w:rPr>
                <w:sz w:val="28"/>
                <w:szCs w:val="28"/>
              </w:rPr>
              <w:t>пенсіонерами</w:t>
            </w:r>
            <w:proofErr w:type="spellEnd"/>
          </w:p>
        </w:tc>
        <w:tc>
          <w:tcPr>
            <w:tcW w:w="5672" w:type="dxa"/>
          </w:tcPr>
          <w:p w14:paraId="59459077" w14:textId="77777777" w:rsidR="003533B1" w:rsidRPr="003533B1" w:rsidRDefault="003533B1" w:rsidP="00AC2B8A">
            <w:pPr>
              <w:rPr>
                <w:sz w:val="28"/>
                <w:szCs w:val="28"/>
              </w:rPr>
            </w:pPr>
            <w:r w:rsidRPr="003533B1">
              <w:rPr>
                <w:sz w:val="28"/>
                <w:szCs w:val="28"/>
              </w:rPr>
              <w:t xml:space="preserve">Закон </w:t>
            </w:r>
            <w:proofErr w:type="spellStart"/>
            <w:r w:rsidRPr="003533B1">
              <w:rPr>
                <w:sz w:val="28"/>
                <w:szCs w:val="28"/>
              </w:rPr>
              <w:t>України</w:t>
            </w:r>
            <w:proofErr w:type="spellEnd"/>
            <w:r w:rsidRPr="003533B1">
              <w:rPr>
                <w:sz w:val="28"/>
                <w:szCs w:val="28"/>
              </w:rPr>
              <w:t xml:space="preserve"> «Про </w:t>
            </w:r>
            <w:proofErr w:type="spellStart"/>
            <w:r w:rsidRPr="003533B1">
              <w:rPr>
                <w:sz w:val="28"/>
                <w:szCs w:val="28"/>
              </w:rPr>
              <w:t>реабілітацію</w:t>
            </w:r>
            <w:proofErr w:type="spellEnd"/>
            <w:r w:rsidRPr="003533B1">
              <w:rPr>
                <w:sz w:val="28"/>
                <w:szCs w:val="28"/>
              </w:rPr>
              <w:t xml:space="preserve"> жертв </w:t>
            </w:r>
            <w:proofErr w:type="spellStart"/>
            <w:r w:rsidRPr="003533B1">
              <w:rPr>
                <w:sz w:val="28"/>
                <w:szCs w:val="28"/>
              </w:rPr>
              <w:t>політичних</w:t>
            </w:r>
            <w:proofErr w:type="spellEnd"/>
            <w:r w:rsidRPr="003533B1">
              <w:rPr>
                <w:sz w:val="28"/>
                <w:szCs w:val="28"/>
              </w:rPr>
              <w:t xml:space="preserve"> </w:t>
            </w:r>
            <w:proofErr w:type="spellStart"/>
            <w:r w:rsidRPr="003533B1">
              <w:rPr>
                <w:sz w:val="28"/>
                <w:szCs w:val="28"/>
              </w:rPr>
              <w:t>репресій</w:t>
            </w:r>
            <w:proofErr w:type="spellEnd"/>
            <w:r w:rsidRPr="003533B1">
              <w:rPr>
                <w:sz w:val="28"/>
                <w:szCs w:val="28"/>
              </w:rPr>
              <w:t xml:space="preserve"> на </w:t>
            </w:r>
            <w:proofErr w:type="spellStart"/>
            <w:r w:rsidRPr="003533B1">
              <w:rPr>
                <w:sz w:val="28"/>
                <w:szCs w:val="28"/>
              </w:rPr>
              <w:t>Україні</w:t>
            </w:r>
            <w:proofErr w:type="spellEnd"/>
            <w:r w:rsidRPr="003533B1">
              <w:rPr>
                <w:sz w:val="28"/>
                <w:szCs w:val="28"/>
              </w:rPr>
              <w:t>»</w:t>
            </w:r>
          </w:p>
        </w:tc>
      </w:tr>
    </w:tbl>
    <w:p w14:paraId="3632560A" w14:textId="509D1EF6" w:rsidR="003533B1" w:rsidRDefault="003533B1" w:rsidP="00FA412E">
      <w:pPr>
        <w:jc w:val="both"/>
        <w:rPr>
          <w:sz w:val="28"/>
          <w:szCs w:val="28"/>
          <w:lang w:val="uk-UA"/>
        </w:rPr>
      </w:pPr>
    </w:p>
    <w:p w14:paraId="36B99CD5" w14:textId="09C26C93" w:rsidR="00FF4025" w:rsidRDefault="00FF4025" w:rsidP="00FA412E">
      <w:pPr>
        <w:jc w:val="both"/>
        <w:rPr>
          <w:sz w:val="28"/>
          <w:szCs w:val="28"/>
          <w:lang w:val="uk-UA"/>
        </w:rPr>
      </w:pPr>
    </w:p>
    <w:p w14:paraId="55EDB73D" w14:textId="0CF7D8BC" w:rsidR="00FF4025" w:rsidRDefault="007E24AD" w:rsidP="00FF4025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F4025">
        <w:rPr>
          <w:sz w:val="28"/>
          <w:szCs w:val="28"/>
          <w:lang w:val="uk-UA"/>
        </w:rPr>
        <w:t xml:space="preserve">.  </w:t>
      </w:r>
      <w:r w:rsidR="00FF4025">
        <w:rPr>
          <w:bCs/>
          <w:sz w:val="28"/>
          <w:szCs w:val="28"/>
          <w:lang w:val="uk-UA"/>
        </w:rPr>
        <w:t xml:space="preserve">Для </w:t>
      </w:r>
      <w:r w:rsidR="00A760B0">
        <w:rPr>
          <w:bCs/>
          <w:sz w:val="28"/>
          <w:szCs w:val="28"/>
          <w:lang w:val="uk-UA"/>
        </w:rPr>
        <w:t>виплати</w:t>
      </w:r>
      <w:r w:rsidR="00FF4025">
        <w:rPr>
          <w:bCs/>
          <w:sz w:val="28"/>
          <w:szCs w:val="28"/>
          <w:lang w:val="uk-UA"/>
        </w:rPr>
        <w:t xml:space="preserve"> компенсаційних виплат, пов’язаних із наданням пільг окремим категоріям населення Городоцької міської ради  на послуги зв’язку </w:t>
      </w:r>
      <w:r>
        <w:rPr>
          <w:bCs/>
          <w:sz w:val="28"/>
          <w:szCs w:val="28"/>
          <w:lang w:val="uk-UA"/>
        </w:rPr>
        <w:t>П</w:t>
      </w:r>
      <w:r w:rsidR="00FF4025">
        <w:rPr>
          <w:bCs/>
          <w:sz w:val="28"/>
          <w:szCs w:val="28"/>
          <w:lang w:val="uk-UA"/>
        </w:rPr>
        <w:t>ідприємство, що надає  послуги зв’язку</w:t>
      </w:r>
      <w:r>
        <w:rPr>
          <w:bCs/>
          <w:sz w:val="28"/>
          <w:szCs w:val="28"/>
          <w:lang w:val="uk-UA"/>
        </w:rPr>
        <w:t>,</w:t>
      </w:r>
      <w:r w:rsidR="00FF4025">
        <w:rPr>
          <w:bCs/>
          <w:sz w:val="28"/>
          <w:szCs w:val="28"/>
          <w:lang w:val="uk-UA"/>
        </w:rPr>
        <w:t xml:space="preserve">  щомісяця </w:t>
      </w:r>
      <w:r w:rsidR="00FF4025" w:rsidRPr="006F41EB">
        <w:rPr>
          <w:bCs/>
          <w:sz w:val="28"/>
          <w:szCs w:val="28"/>
          <w:lang w:val="uk-UA"/>
        </w:rPr>
        <w:t xml:space="preserve">не пізніше 10 числа </w:t>
      </w:r>
      <w:r w:rsidR="00FF4025">
        <w:rPr>
          <w:bCs/>
          <w:sz w:val="28"/>
          <w:szCs w:val="28"/>
          <w:lang w:val="uk-UA"/>
        </w:rPr>
        <w:t xml:space="preserve">місяця  наступного за звітним, надає   </w:t>
      </w:r>
      <w:r>
        <w:rPr>
          <w:bCs/>
          <w:sz w:val="28"/>
          <w:szCs w:val="28"/>
          <w:lang w:val="uk-UA"/>
        </w:rPr>
        <w:t>КУ</w:t>
      </w:r>
      <w:r w:rsidR="00FF4025">
        <w:rPr>
          <w:bCs/>
          <w:sz w:val="28"/>
          <w:szCs w:val="28"/>
          <w:lang w:val="uk-UA"/>
        </w:rPr>
        <w:t xml:space="preserve"> «Центр надання соціальних послуг Городоцької міської ради»</w:t>
      </w:r>
      <w:r w:rsidR="00BA338F">
        <w:rPr>
          <w:bCs/>
          <w:sz w:val="28"/>
          <w:szCs w:val="28"/>
          <w:lang w:val="uk-UA"/>
        </w:rPr>
        <w:t xml:space="preserve"> - розпоряднику бюджетних коштів</w:t>
      </w:r>
      <w:r w:rsidR="00FF4025">
        <w:rPr>
          <w:bCs/>
          <w:sz w:val="28"/>
          <w:szCs w:val="28"/>
          <w:lang w:val="uk-UA"/>
        </w:rPr>
        <w:t xml:space="preserve"> разом із супровідним листом</w:t>
      </w:r>
      <w:r w:rsidR="00BA338F">
        <w:rPr>
          <w:bCs/>
          <w:sz w:val="28"/>
          <w:szCs w:val="28"/>
          <w:lang w:val="uk-UA"/>
        </w:rPr>
        <w:t xml:space="preserve"> в паперовому вигляді</w:t>
      </w:r>
      <w:r w:rsidR="00FF4025">
        <w:rPr>
          <w:bCs/>
          <w:sz w:val="28"/>
          <w:szCs w:val="28"/>
          <w:lang w:val="uk-UA"/>
        </w:rPr>
        <w:t>:</w:t>
      </w:r>
    </w:p>
    <w:p w14:paraId="547A526F" w14:textId="6AD95396" w:rsidR="00FF4025" w:rsidRDefault="00FF4025" w:rsidP="00BA338F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AB7211">
        <w:rPr>
          <w:bCs/>
          <w:sz w:val="28"/>
          <w:szCs w:val="28"/>
          <w:lang w:val="uk-UA"/>
        </w:rPr>
        <w:t>А</w:t>
      </w:r>
      <w:r w:rsidR="00BA338F">
        <w:rPr>
          <w:bCs/>
          <w:sz w:val="28"/>
          <w:szCs w:val="28"/>
          <w:lang w:val="uk-UA"/>
        </w:rPr>
        <w:t>кт звіряння розрахунків за надані населенню послуги на які надаються пільги (форма №3-пільга, затверджена наказом Мінпраці України від 28.03. 2003 №83);</w:t>
      </w:r>
    </w:p>
    <w:p w14:paraId="406EDACF" w14:textId="63E7B995" w:rsidR="00BA338F" w:rsidRDefault="00BA338F" w:rsidP="00BA338F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AB7211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озрахунок видатків на відшкодування витрат, пов’язаних з наданням пільг за відповідний період встановленої форми згідно договору</w:t>
      </w:r>
      <w:r w:rsidR="00A760B0">
        <w:rPr>
          <w:bCs/>
          <w:sz w:val="28"/>
          <w:szCs w:val="28"/>
          <w:lang w:val="uk-UA"/>
        </w:rPr>
        <w:t>.</w:t>
      </w:r>
    </w:p>
    <w:p w14:paraId="73B95572" w14:textId="77777777" w:rsidR="00FF4025" w:rsidRDefault="00FF4025" w:rsidP="00FF4025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</w:p>
    <w:p w14:paraId="6FDF7FC4" w14:textId="01932E3F" w:rsidR="00A760B0" w:rsidRDefault="007E24AD" w:rsidP="00A760B0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FF4025">
        <w:rPr>
          <w:bCs/>
          <w:sz w:val="28"/>
          <w:szCs w:val="28"/>
          <w:lang w:val="uk-UA"/>
        </w:rPr>
        <w:t>.  КУ «Центр надання соціальних послуг Городоцької міської ради»</w:t>
      </w:r>
      <w:r w:rsidR="00A760B0">
        <w:rPr>
          <w:bCs/>
          <w:sz w:val="28"/>
          <w:szCs w:val="28"/>
          <w:lang w:val="uk-UA"/>
        </w:rPr>
        <w:t>:</w:t>
      </w:r>
    </w:p>
    <w:p w14:paraId="068C07B3" w14:textId="7E98F64D" w:rsidR="00FF4025" w:rsidRDefault="00A760B0" w:rsidP="00A760B0">
      <w:pPr>
        <w:pStyle w:val="20"/>
        <w:spacing w:after="0" w:line="240" w:lineRule="auto"/>
        <w:ind w:left="0" w:right="-1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FF4025">
        <w:rPr>
          <w:bCs/>
          <w:sz w:val="28"/>
          <w:szCs w:val="28"/>
          <w:lang w:val="uk-UA"/>
        </w:rPr>
        <w:t xml:space="preserve"> </w:t>
      </w:r>
      <w:r w:rsidR="00FF4025">
        <w:rPr>
          <w:sz w:val="28"/>
          <w:szCs w:val="28"/>
          <w:lang w:val="uk-UA"/>
        </w:rPr>
        <w:t xml:space="preserve"> перераховує кошти на розрахунковий рахунок </w:t>
      </w:r>
      <w:r>
        <w:rPr>
          <w:sz w:val="28"/>
          <w:szCs w:val="28"/>
          <w:lang w:val="uk-UA"/>
        </w:rPr>
        <w:t>підприємства</w:t>
      </w:r>
      <w:r w:rsidR="00FF4025">
        <w:rPr>
          <w:sz w:val="28"/>
          <w:szCs w:val="28"/>
          <w:lang w:val="uk-UA"/>
        </w:rPr>
        <w:t xml:space="preserve"> після надходження коштів місцевого бюджету на рахунок  від головного розпорядника коштів</w:t>
      </w:r>
      <w:r>
        <w:rPr>
          <w:sz w:val="28"/>
          <w:szCs w:val="28"/>
          <w:lang w:val="uk-UA"/>
        </w:rPr>
        <w:t>;</w:t>
      </w:r>
    </w:p>
    <w:p w14:paraId="4D2DE8D9" w14:textId="1069007B" w:rsidR="00A760B0" w:rsidRDefault="00A760B0" w:rsidP="00A760B0">
      <w:pPr>
        <w:pStyle w:val="20"/>
        <w:spacing w:after="0" w:line="240" w:lineRule="auto"/>
        <w:ind w:left="0"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щомісячно проводить звіряння  інформації, зазначеної у </w:t>
      </w:r>
      <w:r w:rsidR="00AB721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озрахунку</w:t>
      </w:r>
      <w:r w:rsidR="00AB7211">
        <w:rPr>
          <w:sz w:val="28"/>
          <w:szCs w:val="28"/>
          <w:lang w:val="uk-UA"/>
        </w:rPr>
        <w:t xml:space="preserve"> видатків;</w:t>
      </w:r>
    </w:p>
    <w:p w14:paraId="27442E00" w14:textId="5E3A0BD8" w:rsidR="00AB7211" w:rsidRDefault="00AB7211" w:rsidP="00A760B0">
      <w:pPr>
        <w:pStyle w:val="20"/>
        <w:spacing w:after="0" w:line="240" w:lineRule="auto"/>
        <w:ind w:left="0" w:right="-1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погоджує Акт звіряння розрахунків за надані населенню послуги на які надаються пільги та відправляє підприємству, що надає послуги зв’язку;</w:t>
      </w:r>
    </w:p>
    <w:p w14:paraId="1C90E5BE" w14:textId="485996FA" w:rsidR="00AB7211" w:rsidRDefault="00AB7211" w:rsidP="00A760B0">
      <w:pPr>
        <w:pStyle w:val="20"/>
        <w:spacing w:after="0" w:line="240" w:lineRule="auto"/>
        <w:ind w:left="0"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формує Звіт про звіряння інформації та у терміни, встановлені Договором, надсилає підприємству;</w:t>
      </w:r>
    </w:p>
    <w:p w14:paraId="3C0E82DF" w14:textId="2C27D290" w:rsidR="00AB7211" w:rsidRPr="00A760B0" w:rsidRDefault="00AB7211" w:rsidP="00A760B0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у разі виявлення розбіжностей під час звіряння інформації щодо загальної кількості пільговиків, або розміру пільг, що надаються конкретному абоненту, не проводить розрахунків, що стосуються виявлених </w:t>
      </w:r>
      <w:proofErr w:type="spellStart"/>
      <w:r>
        <w:rPr>
          <w:sz w:val="28"/>
          <w:szCs w:val="28"/>
          <w:lang w:val="uk-UA"/>
        </w:rPr>
        <w:t>робіжностей</w:t>
      </w:r>
      <w:proofErr w:type="spellEnd"/>
      <w:r>
        <w:rPr>
          <w:sz w:val="28"/>
          <w:szCs w:val="28"/>
          <w:lang w:val="uk-UA"/>
        </w:rPr>
        <w:t>, до уточнення цієї  інформації.</w:t>
      </w:r>
    </w:p>
    <w:p w14:paraId="14C9F00C" w14:textId="16AFD241" w:rsidR="00FF4025" w:rsidRPr="006F41EB" w:rsidRDefault="007E24AD" w:rsidP="00FF4025">
      <w:pPr>
        <w:pStyle w:val="a6"/>
        <w:shd w:val="clear" w:color="auto" w:fill="FFFFFF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</w:t>
      </w:r>
      <w:r w:rsidR="00FF4025">
        <w:rPr>
          <w:sz w:val="28"/>
          <w:szCs w:val="28"/>
          <w:lang w:val="uk-UA"/>
        </w:rPr>
        <w:t>.</w:t>
      </w:r>
      <w:r w:rsidR="00FF4025">
        <w:rPr>
          <w:sz w:val="28"/>
          <w:szCs w:val="28"/>
        </w:rPr>
        <w:t> </w:t>
      </w:r>
      <w:r w:rsidR="00FF4025">
        <w:rPr>
          <w:sz w:val="28"/>
          <w:szCs w:val="28"/>
          <w:lang w:val="uk-UA"/>
        </w:rPr>
        <w:t xml:space="preserve">Розпорядник коштів, приймає до відшкодування суми </w:t>
      </w:r>
      <w:r>
        <w:rPr>
          <w:sz w:val="28"/>
          <w:szCs w:val="28"/>
          <w:lang w:val="uk-UA"/>
        </w:rPr>
        <w:t>в поточному</w:t>
      </w:r>
      <w:r w:rsidR="00FF4025">
        <w:rPr>
          <w:sz w:val="28"/>
          <w:szCs w:val="28"/>
          <w:lang w:val="uk-UA"/>
        </w:rPr>
        <w:t xml:space="preserve"> році в межах річного</w:t>
      </w:r>
      <w:r>
        <w:rPr>
          <w:sz w:val="28"/>
          <w:szCs w:val="28"/>
          <w:lang w:val="uk-UA"/>
        </w:rPr>
        <w:t xml:space="preserve"> кошторису видатків та</w:t>
      </w:r>
      <w:r w:rsidR="00FF4025">
        <w:rPr>
          <w:sz w:val="28"/>
          <w:szCs w:val="28"/>
          <w:lang w:val="uk-UA"/>
        </w:rPr>
        <w:t xml:space="preserve"> обсягу коштів, передбачених у Договорі на відповідні цілі. </w:t>
      </w:r>
      <w:r w:rsidR="00FF4025">
        <w:rPr>
          <w:sz w:val="28"/>
          <w:szCs w:val="28"/>
        </w:rPr>
        <w:t>     </w:t>
      </w:r>
    </w:p>
    <w:p w14:paraId="220AB336" w14:textId="2038BF28" w:rsidR="00FF4025" w:rsidRDefault="00FF4025" w:rsidP="00FF40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 w:rsidR="007E24AD">
        <w:rPr>
          <w:sz w:val="28"/>
          <w:szCs w:val="28"/>
          <w:lang w:val="uk-UA"/>
        </w:rPr>
        <w:t>7</w:t>
      </w:r>
      <w:r w:rsidR="006F41EB">
        <w:rPr>
          <w:sz w:val="28"/>
          <w:szCs w:val="28"/>
          <w:lang w:val="uk-UA"/>
        </w:rPr>
        <w:t>. Розрахунки проводяться в безготівкові формі шляхом перерахування коштів на розрахунковий рахунок Підприємства за реквізитами, вказаними у Договорі.</w:t>
      </w:r>
      <w:r>
        <w:rPr>
          <w:sz w:val="28"/>
          <w:szCs w:val="28"/>
        </w:rPr>
        <w:t>           </w:t>
      </w:r>
    </w:p>
    <w:p w14:paraId="638DF3E7" w14:textId="2FC9D922" w:rsidR="00FF4025" w:rsidRDefault="00FF4025" w:rsidP="006F41EB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                      </w:t>
      </w:r>
    </w:p>
    <w:p w14:paraId="57D2D203" w14:textId="2B6116DF" w:rsidR="00FF4025" w:rsidRDefault="007E24AD" w:rsidP="00FF40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F4025">
        <w:rPr>
          <w:sz w:val="28"/>
          <w:szCs w:val="28"/>
          <w:lang w:val="uk-UA"/>
        </w:rPr>
        <w:t xml:space="preserve">. Спори, що виникають між </w:t>
      </w:r>
      <w:r w:rsidR="006F41EB">
        <w:rPr>
          <w:sz w:val="28"/>
          <w:szCs w:val="28"/>
          <w:lang w:val="uk-UA"/>
        </w:rPr>
        <w:t>Підприємством</w:t>
      </w:r>
      <w:r w:rsidR="00FF4025">
        <w:rPr>
          <w:sz w:val="28"/>
          <w:szCs w:val="28"/>
          <w:lang w:val="uk-UA"/>
        </w:rPr>
        <w:t xml:space="preserve"> та розпорядником коштів,</w:t>
      </w:r>
      <w:r w:rsidR="00FF4025">
        <w:rPr>
          <w:bCs/>
          <w:sz w:val="28"/>
          <w:szCs w:val="28"/>
          <w:lang w:val="uk-UA"/>
        </w:rPr>
        <w:t xml:space="preserve"> </w:t>
      </w:r>
      <w:r w:rsidR="00FF4025">
        <w:rPr>
          <w:sz w:val="28"/>
          <w:szCs w:val="28"/>
          <w:lang w:val="uk-UA"/>
        </w:rPr>
        <w:t>вирішуються шляхом переговорів.</w:t>
      </w:r>
    </w:p>
    <w:p w14:paraId="0B3E3F99" w14:textId="77777777" w:rsidR="006F41EB" w:rsidRDefault="006F41EB" w:rsidP="00FF40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DCFA8E9" w14:textId="296AEE19" w:rsidR="00FF4025" w:rsidRDefault="007E24AD" w:rsidP="00FF4025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FF4025">
        <w:rPr>
          <w:sz w:val="28"/>
          <w:szCs w:val="28"/>
          <w:lang w:val="uk-UA"/>
        </w:rPr>
        <w:t>. У випадках недосягнення згоди між виконавчим органом селищної ради, який визначений головним розпорядником коштів, та перевізником спори вирішуються згідно з чинним законодавством України.</w:t>
      </w:r>
    </w:p>
    <w:p w14:paraId="02CC0B0A" w14:textId="68D0249F" w:rsidR="00FF4025" w:rsidRDefault="00FF4025" w:rsidP="00FA412E">
      <w:pPr>
        <w:jc w:val="both"/>
        <w:rPr>
          <w:sz w:val="28"/>
          <w:szCs w:val="28"/>
          <w:lang w:val="uk-UA"/>
        </w:rPr>
      </w:pPr>
    </w:p>
    <w:p w14:paraId="39FC4E48" w14:textId="77777777" w:rsidR="00FF4025" w:rsidRPr="00BB7570" w:rsidRDefault="00FF4025" w:rsidP="00FA412E">
      <w:pPr>
        <w:jc w:val="both"/>
        <w:rPr>
          <w:sz w:val="28"/>
          <w:szCs w:val="28"/>
          <w:lang w:val="uk-UA"/>
        </w:rPr>
      </w:pPr>
    </w:p>
    <w:p w14:paraId="34E9D766" w14:textId="77777777" w:rsidR="00FA412E" w:rsidRDefault="00FA412E" w:rsidP="00FA412E">
      <w:pPr>
        <w:rPr>
          <w:sz w:val="28"/>
          <w:szCs w:val="28"/>
          <w:lang w:val="uk-UA"/>
        </w:rPr>
      </w:pPr>
    </w:p>
    <w:p w14:paraId="09F93DAC" w14:textId="77777777" w:rsidR="00FA412E" w:rsidRDefault="00FA412E" w:rsidP="00FA412E">
      <w:pPr>
        <w:rPr>
          <w:sz w:val="28"/>
          <w:szCs w:val="28"/>
          <w:lang w:val="uk-UA"/>
        </w:rPr>
      </w:pPr>
    </w:p>
    <w:p w14:paraId="39BFAC40" w14:textId="47CFA492" w:rsidR="00FA412E" w:rsidRPr="00BA55FF" w:rsidRDefault="00C9322A" w:rsidP="00FA412E">
      <w:pPr>
        <w:shd w:val="clear" w:color="auto" w:fill="FFFFFF"/>
        <w:spacing w:after="619" w:line="302" w:lineRule="exact"/>
        <w:ind w:right="5"/>
        <w:jc w:val="both"/>
        <w:rPr>
          <w:b/>
          <w:sz w:val="28"/>
          <w:szCs w:val="28"/>
          <w:lang w:val="uk-UA"/>
        </w:rPr>
      </w:pPr>
      <w:r w:rsidRPr="00BA55FF">
        <w:rPr>
          <w:b/>
          <w:sz w:val="28"/>
          <w:szCs w:val="28"/>
          <w:lang w:val="uk-UA"/>
        </w:rPr>
        <w:t xml:space="preserve">Керуючий справами </w:t>
      </w:r>
      <w:r w:rsidR="00BA55FF" w:rsidRPr="00BA55FF">
        <w:rPr>
          <w:b/>
          <w:sz w:val="32"/>
          <w:szCs w:val="32"/>
          <w:lang w:val="uk-UA"/>
        </w:rPr>
        <w:t xml:space="preserve">виконкому </w:t>
      </w:r>
      <w:r w:rsidR="00FA412E" w:rsidRPr="00BA55FF">
        <w:rPr>
          <w:b/>
          <w:sz w:val="28"/>
          <w:szCs w:val="28"/>
          <w:lang w:val="uk-UA"/>
        </w:rPr>
        <w:t xml:space="preserve">                                           </w:t>
      </w:r>
      <w:r w:rsidR="00FE2521" w:rsidRPr="00BA55FF">
        <w:rPr>
          <w:b/>
          <w:sz w:val="28"/>
          <w:szCs w:val="28"/>
          <w:lang w:val="uk-UA"/>
        </w:rPr>
        <w:t xml:space="preserve">Богдан </w:t>
      </w:r>
      <w:r w:rsidR="00BA55FF" w:rsidRPr="00BA55FF">
        <w:rPr>
          <w:b/>
          <w:sz w:val="28"/>
          <w:szCs w:val="28"/>
          <w:lang w:val="uk-UA"/>
        </w:rPr>
        <w:t>СТ</w:t>
      </w:r>
      <w:r w:rsidR="00FE2521" w:rsidRPr="00BA55FF">
        <w:rPr>
          <w:b/>
          <w:sz w:val="28"/>
          <w:szCs w:val="28"/>
          <w:lang w:val="uk-UA"/>
        </w:rPr>
        <w:t>ЕПАНЯК</w:t>
      </w:r>
    </w:p>
    <w:p w14:paraId="0745B5E6" w14:textId="77777777" w:rsidR="00FA412E" w:rsidRDefault="00FA412E" w:rsidP="00C81C96">
      <w:pPr>
        <w:jc w:val="center"/>
        <w:rPr>
          <w:bCs/>
          <w:sz w:val="28"/>
          <w:szCs w:val="28"/>
          <w:lang w:val="uk-UA"/>
        </w:rPr>
      </w:pPr>
    </w:p>
    <w:sectPr w:rsidR="00FA412E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B0F3CFF"/>
    <w:multiLevelType w:val="hybridMultilevel"/>
    <w:tmpl w:val="8BD02B20"/>
    <w:lvl w:ilvl="0" w:tplc="A0824D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7279F"/>
    <w:rsid w:val="00094BF1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80BB3"/>
    <w:rsid w:val="002B4775"/>
    <w:rsid w:val="002C3A05"/>
    <w:rsid w:val="00303F7D"/>
    <w:rsid w:val="00314DF4"/>
    <w:rsid w:val="0031500C"/>
    <w:rsid w:val="00331DDA"/>
    <w:rsid w:val="00346DFB"/>
    <w:rsid w:val="00352EBE"/>
    <w:rsid w:val="003533B1"/>
    <w:rsid w:val="00362339"/>
    <w:rsid w:val="00391FBD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A6131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5E09D2"/>
    <w:rsid w:val="00605884"/>
    <w:rsid w:val="006071A0"/>
    <w:rsid w:val="006104AD"/>
    <w:rsid w:val="006439C5"/>
    <w:rsid w:val="00660C7B"/>
    <w:rsid w:val="006970C9"/>
    <w:rsid w:val="006B4183"/>
    <w:rsid w:val="006B438F"/>
    <w:rsid w:val="006D2598"/>
    <w:rsid w:val="006F41EB"/>
    <w:rsid w:val="006F6DEC"/>
    <w:rsid w:val="00737376"/>
    <w:rsid w:val="00756BCB"/>
    <w:rsid w:val="00760949"/>
    <w:rsid w:val="00776E71"/>
    <w:rsid w:val="007A7F15"/>
    <w:rsid w:val="007B6BD6"/>
    <w:rsid w:val="007E24AD"/>
    <w:rsid w:val="007F29C0"/>
    <w:rsid w:val="00812B08"/>
    <w:rsid w:val="00813D81"/>
    <w:rsid w:val="00821413"/>
    <w:rsid w:val="008215AC"/>
    <w:rsid w:val="008233CF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4962"/>
    <w:rsid w:val="00A0451E"/>
    <w:rsid w:val="00A04CE1"/>
    <w:rsid w:val="00A24122"/>
    <w:rsid w:val="00A63C85"/>
    <w:rsid w:val="00A641C4"/>
    <w:rsid w:val="00A760B0"/>
    <w:rsid w:val="00A9190C"/>
    <w:rsid w:val="00AA4004"/>
    <w:rsid w:val="00AB7211"/>
    <w:rsid w:val="00AC2989"/>
    <w:rsid w:val="00B04CA3"/>
    <w:rsid w:val="00B06401"/>
    <w:rsid w:val="00B325E1"/>
    <w:rsid w:val="00B76DE8"/>
    <w:rsid w:val="00B93913"/>
    <w:rsid w:val="00B96F34"/>
    <w:rsid w:val="00BA338F"/>
    <w:rsid w:val="00BA51D1"/>
    <w:rsid w:val="00BA55FF"/>
    <w:rsid w:val="00BA785F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322A"/>
    <w:rsid w:val="00C96BAD"/>
    <w:rsid w:val="00C979C5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2EEF"/>
    <w:rsid w:val="00E77D10"/>
    <w:rsid w:val="00EB514A"/>
    <w:rsid w:val="00F03870"/>
    <w:rsid w:val="00F211E5"/>
    <w:rsid w:val="00F373FC"/>
    <w:rsid w:val="00F46C5E"/>
    <w:rsid w:val="00F574BA"/>
    <w:rsid w:val="00F637D5"/>
    <w:rsid w:val="00F759B6"/>
    <w:rsid w:val="00FA1D2A"/>
    <w:rsid w:val="00FA412E"/>
    <w:rsid w:val="00FD1448"/>
    <w:rsid w:val="00FD14A6"/>
    <w:rsid w:val="00FE2521"/>
    <w:rsid w:val="00FE571A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99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  <w:style w:type="character" w:styleId="a8">
    <w:name w:val="Strong"/>
    <w:basedOn w:val="a0"/>
    <w:uiPriority w:val="99"/>
    <w:qFormat/>
    <w:rsid w:val="003533B1"/>
    <w:rPr>
      <w:b/>
      <w:bCs/>
    </w:rPr>
  </w:style>
  <w:style w:type="character" w:customStyle="1" w:styleId="rvts0">
    <w:name w:val="rvts0"/>
    <w:basedOn w:val="a0"/>
    <w:uiPriority w:val="99"/>
    <w:rsid w:val="00353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DABE-6F2F-4AF2-A1A0-2C43277D0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3313</Words>
  <Characters>1889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11</cp:revision>
  <cp:lastPrinted>2023-02-28T07:57:00Z</cp:lastPrinted>
  <dcterms:created xsi:type="dcterms:W3CDTF">2023-02-21T14:40:00Z</dcterms:created>
  <dcterms:modified xsi:type="dcterms:W3CDTF">2023-03-02T07:28:00Z</dcterms:modified>
</cp:coreProperties>
</file>